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[OT NAME, CREDENTIALS]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[OT PRACTICE / AGENCY]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[STREET ADDRESS]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[CITY, GA  ZIP]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[PHONE]  ·  [EMAIL]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GA OT License #: [LICENSE NUMBER]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RE: Letter of Medical Necessity — Environmental Accessibility Adaptation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Participant: [PARTICIPANT FULL NAME]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DOB: [MM/DD/YYYY]    Medicaid ID: [MEDICAID ID]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Waiver: ☐ NOW   ☐ COMP    Service Code: S5165-UC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Support Coordinator: [NAME, AGENCY]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To Whom It May Concern at Georgia DBHDD / Medicaid Prior Authorization: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 am the licensed Occupational Therapist for [PARTICIPANT NAME], who is enrolled in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the Georgia [NOW / COMP] Medicaid waiver program. I am writing to document the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medical necessity of Environmental Accessibility Adaptation (S5165-UC).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1. DIAGNOSIS AND FUNCTIONAL LIMITATIONS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[PARTICIPANT NAME] presents with a primary diagnosis of [DIAGNOSIS — e.g.,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Autism Spectrum Disorder, Level 2 (ICD-10 F84.0)], with co-occurring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[CO-OCCURRING DIAGNOSES]. Functional limitations directly relevant to this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request include: [list 3–5 specific limitations — e.g., severe sensory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dysregulation in response to ambient acoustics and overhead lighting;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self-injurious behavior consisting of forceful head-banging during episodes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of dysregulation; documented history of elopement; sleep disruption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averaging X hours of total nightly sleep].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2. CURRENT HOME ENVIRONMENT — CONTRIBUTION TO RISK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[PARTICIPANT NAME]'s current home environment contains specific structural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and sensory conditions that contribute directly to the functional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limitations and risks described above. Specifically: [describe — e.g.,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bedroom contains uncovered overhead fluorescent fixtures producing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measurable flicker and high-frequency emission; walls are standard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single-layer drywall offering no sound attenuation from the adjacent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high-traffic living room; bedroom door is hollow-core and has been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breached on three separate occasions during behavioral episodes].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3. RECOMMENDED MODIFICATIONS AND CLINICAL RATIONALE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I recommend the following Environmental Accessibility Adaptation services,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as detailed in the Scope of Work prepared by PUSH Ministry, Adaptive Care Solutions and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attached to this prior authorization: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 a. [MODIFICATION ITEM]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    Clinical rationale: [direct mitigation of which specific risk]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 b. [MODIFICATION ITEM]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    Clinical rationale: [direct mitigation of which specific risk]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 c. [MODIFICATION ITEM]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    Clinical rationale: [direct mitigation of which specific risk]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4. CONNECTION TO INDIVIDUAL SERVICE PLAN GOALS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The recommended modifications directly support the following ISP goals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currently documented for [PARTICIPANT NAME]: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 • ISP Goal: [e.g., maintain health and safety at home]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    Supported by: [which modification(s)]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  • ISP Goal: [e.g., improve sleep and daily routine]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   Supported by: [which modification(s)]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5. MEDICAL NECESSITY STATEMENT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In my professional clinical judgment, the recommended Environmental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Accessibility Adaptation services are medically necessary to ensure the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 physical health, welfare, and safety of [PARTICIPANT NAME], to prevent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institutionalization or out-of-home placement, and to maintain the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participant in the least restrictive community setting. These modifications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represent the least restrictive intervention available to mitigate the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documented risks and are not duplicative of any other Medicaid-funded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service.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6. SIGNATURE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 _____________________________________      Date: ____________________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 [OT FULL NAME, CREDENTIALS]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Georgia OT License #: [LICENSE NUMBER]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 NPI #: [NPI NUMBER]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Attachments: Scope of Work (PUSH Ministry, Adaptive Care Solutions); Cost Estimate; Photos (If applicable).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      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